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24AE" w14:textId="63A8CC57" w:rsidR="00C13AEB" w:rsidRPr="00BE42B5" w:rsidRDefault="00BE42B5">
      <w:pPr>
        <w:rPr>
          <w:b/>
          <w:bCs/>
          <w:sz w:val="28"/>
          <w:szCs w:val="28"/>
        </w:rPr>
      </w:pPr>
      <w:r>
        <w:t xml:space="preserve">                             </w:t>
      </w:r>
      <w:r w:rsidRPr="00BE42B5">
        <w:rPr>
          <w:b/>
          <w:bCs/>
          <w:sz w:val="28"/>
          <w:szCs w:val="28"/>
        </w:rPr>
        <w:t>Mountaineer Revised Requirements for Stable Gate Entry</w:t>
      </w:r>
    </w:p>
    <w:p w14:paraId="2BEB9CEC" w14:textId="117D068C" w:rsidR="00BE42B5" w:rsidRPr="00BE42B5" w:rsidRDefault="00BE42B5">
      <w:pPr>
        <w:rPr>
          <w:b/>
          <w:bCs/>
          <w:sz w:val="28"/>
          <w:szCs w:val="28"/>
        </w:rPr>
      </w:pPr>
      <w:r w:rsidRPr="00BE42B5">
        <w:rPr>
          <w:b/>
          <w:bCs/>
          <w:sz w:val="28"/>
          <w:szCs w:val="28"/>
        </w:rPr>
        <w:t xml:space="preserve">                                           (Effective April 16 thru </w:t>
      </w:r>
      <w:r w:rsidR="001D5751" w:rsidRPr="00BE42B5">
        <w:rPr>
          <w:b/>
          <w:bCs/>
          <w:sz w:val="28"/>
          <w:szCs w:val="28"/>
        </w:rPr>
        <w:t>May</w:t>
      </w:r>
      <w:r w:rsidRPr="00BE42B5">
        <w:rPr>
          <w:b/>
          <w:bCs/>
          <w:sz w:val="28"/>
          <w:szCs w:val="28"/>
        </w:rPr>
        <w:t xml:space="preserve"> 31, 2024)</w:t>
      </w:r>
    </w:p>
    <w:p w14:paraId="36120CBC" w14:textId="77777777" w:rsidR="00BE42B5" w:rsidRDefault="00BE42B5"/>
    <w:p w14:paraId="6DA04ED4" w14:textId="106A2132" w:rsidR="00BE42B5" w:rsidRDefault="00BE42B5" w:rsidP="00BE42B5">
      <w:pPr>
        <w:pStyle w:val="ListParagraph"/>
        <w:numPr>
          <w:ilvl w:val="0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1D5751">
        <w:rPr>
          <w:rFonts w:ascii="Seaford" w:eastAsia="Segoe UI" w:hAnsi="Seaford" w:cs="Segoe UI"/>
          <w:color w:val="1A1918"/>
          <w:sz w:val="21"/>
          <w:szCs w:val="21"/>
          <w:u w:val="single"/>
        </w:rPr>
        <w:t>ALL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 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>incoming horses will be required to have the following documentation to enter the Stable Area</w:t>
      </w:r>
      <w:r w:rsidR="00855BA4">
        <w:rPr>
          <w:rFonts w:ascii="Seaford" w:eastAsia="Segoe UI" w:hAnsi="Seaford" w:cs="Segoe UI"/>
          <w:color w:val="1A1918"/>
          <w:sz w:val="21"/>
          <w:szCs w:val="21"/>
        </w:rPr>
        <w:t xml:space="preserve"> each time they enter the grounds:</w:t>
      </w:r>
    </w:p>
    <w:p w14:paraId="79D2B4A0" w14:textId="77777777" w:rsidR="001D5751" w:rsidRPr="00855BA4" w:rsidRDefault="001D5751" w:rsidP="001D5751">
      <w:pPr>
        <w:pStyle w:val="ListParagraph"/>
        <w:rPr>
          <w:rFonts w:ascii="Seaford" w:eastAsia="Segoe UI" w:hAnsi="Seaford" w:cs="Segoe UI"/>
          <w:color w:val="1A1918"/>
          <w:sz w:val="21"/>
          <w:szCs w:val="21"/>
        </w:rPr>
      </w:pPr>
    </w:p>
    <w:p w14:paraId="39FD1646" w14:textId="3288387C" w:rsidR="00BE42B5" w:rsidRPr="00855BA4" w:rsidRDefault="00BE42B5" w:rsidP="00BE42B5">
      <w:pPr>
        <w:pStyle w:val="ListParagraph"/>
        <w:numPr>
          <w:ilvl w:val="1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1D5751">
        <w:rPr>
          <w:rFonts w:ascii="Seaford" w:eastAsia="Segoe UI" w:hAnsi="Seaford" w:cs="Segoe UI"/>
          <w:color w:val="1A1918"/>
          <w:sz w:val="21"/>
          <w:szCs w:val="21"/>
          <w:u w:val="single"/>
        </w:rPr>
        <w:t>Inbound Horse Form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 which will include:</w:t>
      </w:r>
    </w:p>
    <w:p w14:paraId="3D4C4DA0" w14:textId="71C8F18D" w:rsidR="00BE42B5" w:rsidRPr="00855BA4" w:rsidRDefault="00BE42B5" w:rsidP="00BE42B5">
      <w:pPr>
        <w:pStyle w:val="ListParagraph"/>
        <w:numPr>
          <w:ilvl w:val="2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Morning </w:t>
      </w:r>
      <w:r w:rsidR="00F417E3">
        <w:rPr>
          <w:rFonts w:ascii="Seaford" w:eastAsia="Segoe UI" w:hAnsi="Seaford" w:cs="Segoe UI"/>
          <w:color w:val="1A1918"/>
          <w:sz w:val="21"/>
          <w:szCs w:val="21"/>
        </w:rPr>
        <w:t>t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emperature </w:t>
      </w:r>
      <w:r w:rsidR="00F417E3">
        <w:rPr>
          <w:rFonts w:ascii="Seaford" w:eastAsia="Segoe UI" w:hAnsi="Seaford" w:cs="Segoe UI"/>
          <w:color w:val="1A1918"/>
          <w:sz w:val="21"/>
          <w:szCs w:val="21"/>
        </w:rPr>
        <w:t>l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>ogged for each horse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 on day of </w:t>
      </w:r>
      <w:proofErr w:type="gramStart"/>
      <w:r w:rsidRPr="00855BA4">
        <w:rPr>
          <w:rFonts w:ascii="Seaford" w:eastAsia="Segoe UI" w:hAnsi="Seaford" w:cs="Segoe UI"/>
          <w:color w:val="1A1918"/>
          <w:sz w:val="21"/>
          <w:szCs w:val="21"/>
        </w:rPr>
        <w:t>entry</w:t>
      </w:r>
      <w:proofErr w:type="gramEnd"/>
    </w:p>
    <w:p w14:paraId="131A2641" w14:textId="2D8221C4" w:rsidR="00BE42B5" w:rsidRPr="00855BA4" w:rsidRDefault="00BE42B5" w:rsidP="00BE42B5">
      <w:pPr>
        <w:pStyle w:val="ListParagraph"/>
        <w:numPr>
          <w:ilvl w:val="2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Point of Origin (specific farm </w:t>
      </w:r>
      <w:r w:rsidR="00855BA4">
        <w:rPr>
          <w:rFonts w:ascii="Seaford" w:eastAsia="Segoe UI" w:hAnsi="Seaford" w:cs="Segoe UI"/>
          <w:color w:val="1A1918"/>
          <w:sz w:val="21"/>
          <w:szCs w:val="21"/>
        </w:rPr>
        <w:t xml:space="preserve">name 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>or racetrack)</w:t>
      </w:r>
    </w:p>
    <w:p w14:paraId="334AD6EE" w14:textId="37C1AF81" w:rsidR="00BE42B5" w:rsidRPr="00855BA4" w:rsidRDefault="00BE42B5" w:rsidP="00BE42B5">
      <w:pPr>
        <w:pStyle w:val="ListParagraph"/>
        <w:numPr>
          <w:ilvl w:val="1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1D5751">
        <w:rPr>
          <w:rFonts w:ascii="Seaford" w:eastAsia="Segoe UI" w:hAnsi="Seaford" w:cs="Segoe UI"/>
          <w:color w:val="1A1918"/>
          <w:sz w:val="21"/>
          <w:szCs w:val="21"/>
          <w:u w:val="single"/>
        </w:rPr>
        <w:t>Daily Temp Logs for 5 days prior to Entry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 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>(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must be presented when 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>requested by officials)</w:t>
      </w:r>
    </w:p>
    <w:p w14:paraId="59244033" w14:textId="5E8721CC" w:rsidR="00BE42B5" w:rsidRDefault="00BE42B5" w:rsidP="00BE42B5">
      <w:pPr>
        <w:pStyle w:val="ListParagraph"/>
        <w:numPr>
          <w:ilvl w:val="1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1D5751">
        <w:rPr>
          <w:rFonts w:ascii="Seaford" w:eastAsia="Segoe UI" w:hAnsi="Seaford" w:cs="Segoe UI"/>
          <w:color w:val="1A1918"/>
          <w:sz w:val="21"/>
          <w:szCs w:val="21"/>
          <w:u w:val="single"/>
        </w:rPr>
        <w:t>5 Day Health Certificate</w:t>
      </w:r>
      <w:r w:rsidR="001D5751">
        <w:rPr>
          <w:rFonts w:ascii="Seaford" w:eastAsia="Segoe UI" w:hAnsi="Seaford" w:cs="Segoe UI"/>
          <w:color w:val="1A1918"/>
          <w:sz w:val="21"/>
          <w:szCs w:val="21"/>
          <w:u w:val="single"/>
        </w:rPr>
        <w:t>/CVI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 with Temperature recorded by </w:t>
      </w:r>
      <w:r w:rsidR="00855BA4"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the 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issuing </w:t>
      </w:r>
      <w:proofErr w:type="gramStart"/>
      <w:r w:rsidRPr="00855BA4">
        <w:rPr>
          <w:rFonts w:ascii="Seaford" w:eastAsia="Segoe UI" w:hAnsi="Seaford" w:cs="Segoe UI"/>
          <w:color w:val="1A1918"/>
          <w:sz w:val="21"/>
          <w:szCs w:val="21"/>
        </w:rPr>
        <w:t>Veterinarian</w:t>
      </w:r>
      <w:proofErr w:type="gramEnd"/>
    </w:p>
    <w:p w14:paraId="2112D543" w14:textId="0989458D" w:rsidR="001D5751" w:rsidRPr="001D5751" w:rsidRDefault="001D5751" w:rsidP="001D5751">
      <w:pPr>
        <w:pStyle w:val="ListParagraph"/>
        <w:numPr>
          <w:ilvl w:val="2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1D5751">
        <w:rPr>
          <w:rFonts w:ascii="Seaford" w:eastAsia="Segoe UI" w:hAnsi="Seaford" w:cs="Segoe UI"/>
          <w:color w:val="1A1918"/>
          <w:sz w:val="21"/>
          <w:szCs w:val="21"/>
        </w:rPr>
        <w:t>5 Day Health Certificate Waived for Local</w:t>
      </w:r>
      <w:r>
        <w:rPr>
          <w:rFonts w:ascii="Seaford" w:eastAsia="Segoe UI" w:hAnsi="Seaford" w:cs="Segoe UI"/>
          <w:color w:val="1A1918"/>
          <w:sz w:val="21"/>
          <w:szCs w:val="21"/>
        </w:rPr>
        <w:t xml:space="preserve"> WV Farm Horses within </w:t>
      </w:r>
      <w:proofErr w:type="gramStart"/>
      <w:r>
        <w:rPr>
          <w:rFonts w:ascii="Seaford" w:eastAsia="Segoe UI" w:hAnsi="Seaford" w:cs="Segoe UI"/>
          <w:color w:val="1A1918"/>
          <w:sz w:val="21"/>
          <w:szCs w:val="21"/>
        </w:rPr>
        <w:t>25 mile</w:t>
      </w:r>
      <w:proofErr w:type="gramEnd"/>
      <w:r>
        <w:rPr>
          <w:rFonts w:ascii="Seaford" w:eastAsia="Segoe UI" w:hAnsi="Seaford" w:cs="Segoe UI"/>
          <w:color w:val="1A1918"/>
          <w:sz w:val="21"/>
          <w:szCs w:val="21"/>
        </w:rPr>
        <w:t xml:space="preserve"> radius of track and that have been previously PCR tested</w:t>
      </w:r>
    </w:p>
    <w:p w14:paraId="5EBFD944" w14:textId="77777777" w:rsidR="00BE42B5" w:rsidRPr="001D5751" w:rsidRDefault="00BE42B5" w:rsidP="00BE42B5">
      <w:pPr>
        <w:pStyle w:val="ListParagraph"/>
        <w:numPr>
          <w:ilvl w:val="1"/>
          <w:numId w:val="2"/>
        </w:numPr>
        <w:rPr>
          <w:rFonts w:ascii="Seaford" w:eastAsia="Segoe UI" w:hAnsi="Seaford" w:cs="Segoe UI"/>
          <w:color w:val="1A1918"/>
          <w:sz w:val="21"/>
          <w:szCs w:val="21"/>
          <w:u w:val="single"/>
        </w:rPr>
      </w:pPr>
      <w:r w:rsidRPr="001D5751">
        <w:rPr>
          <w:rFonts w:ascii="Seaford" w:eastAsia="Segoe UI" w:hAnsi="Seaford" w:cs="Segoe UI"/>
          <w:color w:val="1A1918"/>
          <w:sz w:val="21"/>
          <w:szCs w:val="21"/>
          <w:u w:val="single"/>
        </w:rPr>
        <w:t>12-month EIA/Coggins Test Certificate</w:t>
      </w:r>
    </w:p>
    <w:p w14:paraId="00FEDF65" w14:textId="77777777" w:rsidR="00BE42B5" w:rsidRPr="00855BA4" w:rsidRDefault="00BE42B5" w:rsidP="00BE42B5">
      <w:pPr>
        <w:rPr>
          <w:rFonts w:ascii="Seaford" w:eastAsia="Segoe UI" w:hAnsi="Seaford" w:cs="Segoe UI"/>
          <w:color w:val="1A1918"/>
          <w:sz w:val="21"/>
          <w:szCs w:val="21"/>
        </w:rPr>
      </w:pPr>
    </w:p>
    <w:p w14:paraId="4CCCE96D" w14:textId="5123CB37" w:rsidR="00BE42B5" w:rsidRDefault="00BE42B5" w:rsidP="00BE42B5">
      <w:pPr>
        <w:pStyle w:val="ListParagraph"/>
        <w:numPr>
          <w:ilvl w:val="0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 w:rsidRPr="00855BA4">
        <w:rPr>
          <w:rFonts w:ascii="Seaford" w:eastAsia="Segoe UI" w:hAnsi="Seaford" w:cs="Segoe UI"/>
          <w:color w:val="1A1918"/>
          <w:sz w:val="21"/>
          <w:szCs w:val="21"/>
        </w:rPr>
        <w:t>PCR Test Requirements for Horses entering Stable Area will be dependent of Horse Point of Origin</w:t>
      </w:r>
      <w:r w:rsidR="00855BA4">
        <w:rPr>
          <w:rFonts w:ascii="Seaford" w:eastAsia="Segoe UI" w:hAnsi="Seaford" w:cs="Segoe UI"/>
          <w:color w:val="1A1918"/>
          <w:sz w:val="21"/>
          <w:szCs w:val="21"/>
        </w:rPr>
        <w:t xml:space="preserve"> and reviewed by WVRC State Veterinarian</w:t>
      </w:r>
      <w:r w:rsidR="001D5751">
        <w:rPr>
          <w:rFonts w:ascii="Seaford" w:eastAsia="Segoe UI" w:hAnsi="Seaford" w:cs="Segoe UI"/>
          <w:color w:val="1A1918"/>
          <w:sz w:val="21"/>
          <w:szCs w:val="21"/>
        </w:rPr>
        <w:t xml:space="preserve"> prior to entry</w:t>
      </w:r>
      <w:r w:rsidR="00855BA4">
        <w:rPr>
          <w:rFonts w:ascii="Seaford" w:eastAsia="Segoe UI" w:hAnsi="Seaford" w:cs="Segoe UI"/>
          <w:color w:val="1A1918"/>
          <w:sz w:val="21"/>
          <w:szCs w:val="21"/>
        </w:rPr>
        <w:t xml:space="preserve">. 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Please refer to </w:t>
      </w:r>
      <w:r w:rsidR="001D5751" w:rsidRPr="00855BA4">
        <w:rPr>
          <w:rFonts w:ascii="Seaford" w:eastAsia="Segoe UI" w:hAnsi="Seaford" w:cs="Segoe UI"/>
          <w:color w:val="1A1918"/>
          <w:sz w:val="21"/>
          <w:szCs w:val="21"/>
        </w:rPr>
        <w:t>the separate</w:t>
      </w:r>
      <w:r w:rsidRPr="00855BA4">
        <w:rPr>
          <w:rFonts w:ascii="Seaford" w:eastAsia="Segoe UI" w:hAnsi="Seaford" w:cs="Segoe UI"/>
          <w:color w:val="1A1918"/>
          <w:sz w:val="21"/>
          <w:szCs w:val="21"/>
        </w:rPr>
        <w:t xml:space="preserve"> Mountaineer Health Requirement Chart</w:t>
      </w:r>
      <w:r w:rsidR="00855BA4">
        <w:rPr>
          <w:rFonts w:ascii="Seaford" w:eastAsia="Segoe UI" w:hAnsi="Seaford" w:cs="Segoe UI"/>
          <w:color w:val="1A1918"/>
          <w:sz w:val="21"/>
          <w:szCs w:val="21"/>
        </w:rPr>
        <w:t xml:space="preserve"> which outlines the requirements.</w:t>
      </w:r>
    </w:p>
    <w:p w14:paraId="2ECEDBCC" w14:textId="77777777" w:rsidR="00F417E3" w:rsidRDefault="00F417E3" w:rsidP="00F417E3">
      <w:pPr>
        <w:pStyle w:val="ListParagraph"/>
        <w:rPr>
          <w:rFonts w:ascii="Seaford" w:eastAsia="Segoe UI" w:hAnsi="Seaford" w:cs="Segoe UI"/>
          <w:color w:val="1A1918"/>
          <w:sz w:val="21"/>
          <w:szCs w:val="21"/>
        </w:rPr>
      </w:pPr>
    </w:p>
    <w:p w14:paraId="64A281DF" w14:textId="77777777" w:rsidR="00F417E3" w:rsidRDefault="00F417E3" w:rsidP="00F417E3">
      <w:pPr>
        <w:pStyle w:val="ListParagraph"/>
        <w:numPr>
          <w:ilvl w:val="0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>
        <w:rPr>
          <w:rFonts w:ascii="Seaford" w:eastAsia="Segoe UI" w:hAnsi="Seaford" w:cs="Segoe UI"/>
          <w:color w:val="1A1918"/>
          <w:sz w:val="21"/>
          <w:szCs w:val="21"/>
        </w:rPr>
        <w:t>Restricted Horses:</w:t>
      </w:r>
    </w:p>
    <w:p w14:paraId="4C51E801" w14:textId="6B7BFA10" w:rsidR="00F417E3" w:rsidRDefault="00F417E3" w:rsidP="00F417E3">
      <w:pPr>
        <w:pStyle w:val="ListParagraph"/>
        <w:numPr>
          <w:ilvl w:val="1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>
        <w:rPr>
          <w:rFonts w:ascii="Seaford" w:eastAsia="Segoe UI" w:hAnsi="Seaford" w:cs="Segoe UI"/>
          <w:color w:val="1A1918"/>
          <w:sz w:val="21"/>
          <w:szCs w:val="21"/>
        </w:rPr>
        <w:t>No horse stabled at/originating from Thistledown Racetrack will be allowed to enter and race at Mountaineer.</w:t>
      </w:r>
    </w:p>
    <w:p w14:paraId="46BA3A5E" w14:textId="26BA06C1" w:rsidR="00BE42B5" w:rsidRDefault="00F417E3" w:rsidP="00BE42B5">
      <w:pPr>
        <w:pStyle w:val="ListParagraph"/>
        <w:numPr>
          <w:ilvl w:val="1"/>
          <w:numId w:val="2"/>
        </w:numPr>
        <w:rPr>
          <w:rFonts w:ascii="Seaford" w:eastAsia="Segoe UI" w:hAnsi="Seaford" w:cs="Segoe UI"/>
          <w:color w:val="1A1918"/>
          <w:sz w:val="21"/>
          <w:szCs w:val="21"/>
        </w:rPr>
      </w:pPr>
      <w:r>
        <w:rPr>
          <w:rFonts w:ascii="Seaford" w:eastAsia="Segoe UI" w:hAnsi="Seaford" w:cs="Segoe UI"/>
          <w:color w:val="1A1918"/>
          <w:sz w:val="21"/>
          <w:szCs w:val="21"/>
        </w:rPr>
        <w:t xml:space="preserve">No horse that last raced at Mahoning </w:t>
      </w:r>
      <w:proofErr w:type="gramStart"/>
      <w:r>
        <w:rPr>
          <w:rFonts w:ascii="Seaford" w:eastAsia="Segoe UI" w:hAnsi="Seaford" w:cs="Segoe UI"/>
          <w:color w:val="1A1918"/>
          <w:sz w:val="21"/>
          <w:szCs w:val="21"/>
        </w:rPr>
        <w:t>during</w:t>
      </w:r>
      <w:proofErr w:type="gramEnd"/>
      <w:r>
        <w:rPr>
          <w:rFonts w:ascii="Seaford" w:eastAsia="Segoe UI" w:hAnsi="Seaford" w:cs="Segoe UI"/>
          <w:color w:val="1A1918"/>
          <w:sz w:val="21"/>
          <w:szCs w:val="21"/>
        </w:rPr>
        <w:t xml:space="preserve"> January thru April 2024 will be allowed to enter and race at Mountaineer unless it has been previously PCR tested.</w:t>
      </w:r>
    </w:p>
    <w:p w14:paraId="61C5CF97" w14:textId="77777777" w:rsidR="00F417E3" w:rsidRPr="00F417E3" w:rsidRDefault="00F417E3" w:rsidP="00F417E3">
      <w:pPr>
        <w:pStyle w:val="ListParagraph"/>
        <w:ind w:left="1440"/>
        <w:rPr>
          <w:rFonts w:ascii="Seaford" w:eastAsia="Segoe UI" w:hAnsi="Seaford" w:cs="Segoe UI"/>
          <w:color w:val="1A1918"/>
          <w:sz w:val="21"/>
          <w:szCs w:val="21"/>
        </w:rPr>
      </w:pPr>
    </w:p>
    <w:p w14:paraId="4ED178AF" w14:textId="61618F8A" w:rsidR="00BE42B5" w:rsidRPr="00855BA4" w:rsidRDefault="00855BA4" w:rsidP="00BE42B5">
      <w:pPr>
        <w:pStyle w:val="ListParagraph"/>
        <w:numPr>
          <w:ilvl w:val="0"/>
          <w:numId w:val="2"/>
        </w:numPr>
        <w:rPr>
          <w:rFonts w:ascii="Seaford" w:hAnsi="Seaford"/>
        </w:rPr>
      </w:pPr>
      <w:r w:rsidRPr="00855BA4">
        <w:rPr>
          <w:rFonts w:ascii="Seaford" w:hAnsi="Seaford"/>
        </w:rPr>
        <w:t xml:space="preserve">The </w:t>
      </w:r>
      <w:proofErr w:type="gramStart"/>
      <w:r w:rsidRPr="00855BA4">
        <w:rPr>
          <w:rFonts w:ascii="Seaford" w:hAnsi="Seaford"/>
        </w:rPr>
        <w:t>Health</w:t>
      </w:r>
      <w:proofErr w:type="gramEnd"/>
      <w:r w:rsidRPr="00855BA4">
        <w:rPr>
          <w:rFonts w:ascii="Seaford" w:hAnsi="Seaford"/>
        </w:rPr>
        <w:t xml:space="preserve"> Team inspections have been suspended. There will be random visual checks for any Ship-In horse in stable area.</w:t>
      </w:r>
    </w:p>
    <w:p w14:paraId="6842D2EC" w14:textId="77777777" w:rsidR="00855BA4" w:rsidRPr="00855BA4" w:rsidRDefault="00855BA4" w:rsidP="00855BA4">
      <w:pPr>
        <w:pStyle w:val="ListParagraph"/>
        <w:rPr>
          <w:rFonts w:ascii="Seaford" w:hAnsi="Seaford"/>
        </w:rPr>
      </w:pPr>
    </w:p>
    <w:p w14:paraId="5311ADBB" w14:textId="1BE57C37" w:rsidR="00855BA4" w:rsidRPr="00855BA4" w:rsidRDefault="00855BA4" w:rsidP="00BE42B5">
      <w:pPr>
        <w:pStyle w:val="ListParagraph"/>
        <w:numPr>
          <w:ilvl w:val="0"/>
          <w:numId w:val="2"/>
        </w:numPr>
        <w:rPr>
          <w:rFonts w:ascii="Seaford" w:hAnsi="Seaford"/>
        </w:rPr>
      </w:pPr>
      <w:r w:rsidRPr="00855BA4">
        <w:rPr>
          <w:rFonts w:ascii="Seaford" w:hAnsi="Seaford"/>
        </w:rPr>
        <w:t xml:space="preserve">Stable Gate Hours are no longer restricted. Horses can enter/depart at any time the stable Gate is open: </w:t>
      </w:r>
    </w:p>
    <w:p w14:paraId="560F2EC0" w14:textId="051B931C" w:rsidR="00855BA4" w:rsidRPr="00855BA4" w:rsidRDefault="00855BA4" w:rsidP="00855BA4">
      <w:pPr>
        <w:pStyle w:val="ListParagraph"/>
        <w:rPr>
          <w:rFonts w:ascii="Seaford" w:hAnsi="Seaford"/>
        </w:rPr>
      </w:pPr>
      <w:r w:rsidRPr="00855BA4">
        <w:rPr>
          <w:rFonts w:ascii="Seaford" w:hAnsi="Seaford"/>
        </w:rPr>
        <w:t xml:space="preserve">             Dark Days    6:00 am – 6:00 pm</w:t>
      </w:r>
    </w:p>
    <w:p w14:paraId="285E9282" w14:textId="723DD7D5" w:rsidR="00855BA4" w:rsidRPr="00855BA4" w:rsidRDefault="00855BA4" w:rsidP="00855BA4">
      <w:pPr>
        <w:pStyle w:val="ListParagraph"/>
        <w:rPr>
          <w:rFonts w:ascii="Seaford" w:hAnsi="Seaford"/>
        </w:rPr>
      </w:pPr>
      <w:r w:rsidRPr="00855BA4">
        <w:rPr>
          <w:rFonts w:ascii="Seaford" w:hAnsi="Seaford"/>
        </w:rPr>
        <w:t xml:space="preserve">             Race Days   </w:t>
      </w:r>
      <w:r w:rsidR="001D5751">
        <w:rPr>
          <w:rFonts w:ascii="Seaford" w:hAnsi="Seaford"/>
        </w:rPr>
        <w:t xml:space="preserve"> </w:t>
      </w:r>
      <w:r w:rsidRPr="00855BA4">
        <w:rPr>
          <w:rFonts w:ascii="Seaford" w:hAnsi="Seaford"/>
        </w:rPr>
        <w:t>6:00 am – 12:00 am Midnight</w:t>
      </w:r>
    </w:p>
    <w:p w14:paraId="621C3F15" w14:textId="77777777" w:rsidR="00855BA4" w:rsidRPr="00855BA4" w:rsidRDefault="00855BA4" w:rsidP="00855BA4">
      <w:pPr>
        <w:pStyle w:val="ListParagraph"/>
        <w:rPr>
          <w:rFonts w:ascii="Seaford" w:hAnsi="Seaford"/>
        </w:rPr>
      </w:pPr>
    </w:p>
    <w:p w14:paraId="72C85A89" w14:textId="5CE5BDA8" w:rsidR="00855BA4" w:rsidRPr="00855BA4" w:rsidRDefault="00855BA4" w:rsidP="00855BA4">
      <w:pPr>
        <w:pStyle w:val="ListParagraph"/>
        <w:numPr>
          <w:ilvl w:val="0"/>
          <w:numId w:val="2"/>
        </w:numPr>
        <w:rPr>
          <w:rFonts w:ascii="Seaford" w:hAnsi="Seaford"/>
        </w:rPr>
      </w:pPr>
      <w:r w:rsidRPr="00855BA4">
        <w:rPr>
          <w:rFonts w:ascii="Seaford" w:hAnsi="Seaford"/>
        </w:rPr>
        <w:t xml:space="preserve">All Horsemen are to use </w:t>
      </w:r>
      <w:r>
        <w:rPr>
          <w:rFonts w:ascii="Seaford" w:hAnsi="Seaford"/>
        </w:rPr>
        <w:t xml:space="preserve">their </w:t>
      </w:r>
      <w:r w:rsidRPr="00855BA4">
        <w:rPr>
          <w:rFonts w:ascii="Seaford" w:hAnsi="Seaford"/>
        </w:rPr>
        <w:t xml:space="preserve">Assigned Stalls only. </w:t>
      </w:r>
      <w:r>
        <w:rPr>
          <w:rFonts w:ascii="Seaford" w:hAnsi="Seaford"/>
        </w:rPr>
        <w:t xml:space="preserve">The Receiving Barn will be used </w:t>
      </w:r>
      <w:r w:rsidR="00F417E3">
        <w:rPr>
          <w:rFonts w:ascii="Seaford" w:hAnsi="Seaford"/>
        </w:rPr>
        <w:t xml:space="preserve">ONLY </w:t>
      </w:r>
      <w:r>
        <w:rPr>
          <w:rFonts w:ascii="Seaford" w:hAnsi="Seaford"/>
        </w:rPr>
        <w:t>by horses shipping in from outside the region. Stalls will be assigned by the Stallman</w:t>
      </w:r>
      <w:r w:rsidR="001D5751">
        <w:rPr>
          <w:rFonts w:ascii="Seaford" w:hAnsi="Seaford"/>
        </w:rPr>
        <w:t xml:space="preserve"> for all Ship-Ins.</w:t>
      </w:r>
    </w:p>
    <w:p w14:paraId="00CA37C3" w14:textId="77777777" w:rsidR="00855BA4" w:rsidRDefault="00855BA4" w:rsidP="00855BA4">
      <w:pPr>
        <w:pStyle w:val="ListParagraph"/>
      </w:pPr>
    </w:p>
    <w:p w14:paraId="7169BED0" w14:textId="0077ED6E" w:rsidR="00855BA4" w:rsidRDefault="00855BA4" w:rsidP="00BE42B5">
      <w:pPr>
        <w:pStyle w:val="ListParagraph"/>
        <w:numPr>
          <w:ilvl w:val="0"/>
          <w:numId w:val="2"/>
        </w:numPr>
        <w:rPr>
          <w:rFonts w:ascii="Seaford" w:hAnsi="Seaford"/>
        </w:rPr>
      </w:pPr>
      <w:r w:rsidRPr="00F417E3">
        <w:rPr>
          <w:rFonts w:ascii="Seaford" w:hAnsi="Seaford"/>
        </w:rPr>
        <w:t xml:space="preserve"> </w:t>
      </w:r>
      <w:r w:rsidR="00F417E3" w:rsidRPr="00F417E3">
        <w:rPr>
          <w:rFonts w:ascii="Seaford" w:hAnsi="Seaford"/>
        </w:rPr>
        <w:t>These Guidelines will be reviewed in 30 days</w:t>
      </w:r>
      <w:r w:rsidR="00F417E3">
        <w:rPr>
          <w:rFonts w:ascii="Seaford" w:hAnsi="Seaford"/>
        </w:rPr>
        <w:t>.</w:t>
      </w:r>
    </w:p>
    <w:p w14:paraId="526FB891" w14:textId="77777777" w:rsidR="00F417E3" w:rsidRPr="00F417E3" w:rsidRDefault="00F417E3" w:rsidP="00F417E3">
      <w:pPr>
        <w:pStyle w:val="ListParagraph"/>
        <w:rPr>
          <w:rFonts w:ascii="Seaford" w:hAnsi="Seaford"/>
        </w:rPr>
      </w:pPr>
    </w:p>
    <w:p w14:paraId="0671AFBE" w14:textId="04D10EA9" w:rsidR="00F417E3" w:rsidRPr="00F417E3" w:rsidRDefault="00F417E3" w:rsidP="00BE42B5">
      <w:pPr>
        <w:pStyle w:val="ListParagraph"/>
        <w:numPr>
          <w:ilvl w:val="0"/>
          <w:numId w:val="2"/>
        </w:numPr>
        <w:rPr>
          <w:rFonts w:ascii="Seaford" w:hAnsi="Seaford"/>
        </w:rPr>
      </w:pPr>
      <w:r>
        <w:rPr>
          <w:rFonts w:ascii="Seaford" w:hAnsi="Seaford"/>
        </w:rPr>
        <w:t>Failure to follow these guidelines will result in sanctions by the WV Racing Commission Board of Stewards.</w:t>
      </w:r>
    </w:p>
    <w:sectPr w:rsidR="00F417E3" w:rsidRPr="00F417E3" w:rsidSect="0094434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5872"/>
    <w:multiLevelType w:val="hybridMultilevel"/>
    <w:tmpl w:val="B4C0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9C7AC"/>
    <w:multiLevelType w:val="hybridMultilevel"/>
    <w:tmpl w:val="1E26D8E6"/>
    <w:lvl w:ilvl="0" w:tplc="933C0804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</w:rPr>
    </w:lvl>
    <w:lvl w:ilvl="1" w:tplc="CA9E8EC0">
      <w:start w:val="1"/>
      <w:numFmt w:val="lowerLetter"/>
      <w:lvlText w:val="%2."/>
      <w:lvlJc w:val="left"/>
      <w:pPr>
        <w:ind w:left="1440" w:hanging="360"/>
      </w:pPr>
    </w:lvl>
    <w:lvl w:ilvl="2" w:tplc="CAA22DD8">
      <w:start w:val="1"/>
      <w:numFmt w:val="lowerRoman"/>
      <w:lvlText w:val="%3."/>
      <w:lvlJc w:val="right"/>
      <w:pPr>
        <w:ind w:left="2160" w:hanging="180"/>
      </w:pPr>
    </w:lvl>
    <w:lvl w:ilvl="3" w:tplc="3E70D6B6">
      <w:start w:val="1"/>
      <w:numFmt w:val="decimal"/>
      <w:lvlText w:val="%4."/>
      <w:lvlJc w:val="left"/>
      <w:pPr>
        <w:ind w:left="2880" w:hanging="360"/>
      </w:pPr>
    </w:lvl>
    <w:lvl w:ilvl="4" w:tplc="ACB41504">
      <w:start w:val="1"/>
      <w:numFmt w:val="lowerLetter"/>
      <w:lvlText w:val="%5."/>
      <w:lvlJc w:val="left"/>
      <w:pPr>
        <w:ind w:left="3600" w:hanging="360"/>
      </w:pPr>
    </w:lvl>
    <w:lvl w:ilvl="5" w:tplc="AA644472">
      <w:start w:val="1"/>
      <w:numFmt w:val="lowerRoman"/>
      <w:lvlText w:val="%6."/>
      <w:lvlJc w:val="right"/>
      <w:pPr>
        <w:ind w:left="4320" w:hanging="180"/>
      </w:pPr>
    </w:lvl>
    <w:lvl w:ilvl="6" w:tplc="30F69ED0">
      <w:start w:val="1"/>
      <w:numFmt w:val="decimal"/>
      <w:lvlText w:val="%7."/>
      <w:lvlJc w:val="left"/>
      <w:pPr>
        <w:ind w:left="5040" w:hanging="360"/>
      </w:pPr>
    </w:lvl>
    <w:lvl w:ilvl="7" w:tplc="2B4436CC">
      <w:start w:val="1"/>
      <w:numFmt w:val="lowerLetter"/>
      <w:lvlText w:val="%8."/>
      <w:lvlJc w:val="left"/>
      <w:pPr>
        <w:ind w:left="5760" w:hanging="360"/>
      </w:pPr>
    </w:lvl>
    <w:lvl w:ilvl="8" w:tplc="99B89684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45026">
    <w:abstractNumId w:val="0"/>
  </w:num>
  <w:num w:numId="2" w16cid:durableId="544491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E5"/>
    <w:rsid w:val="001D5751"/>
    <w:rsid w:val="0049073C"/>
    <w:rsid w:val="00854715"/>
    <w:rsid w:val="00855BA4"/>
    <w:rsid w:val="00944345"/>
    <w:rsid w:val="00B27AD5"/>
    <w:rsid w:val="00B70F9E"/>
    <w:rsid w:val="00BE42B5"/>
    <w:rsid w:val="00C13AEB"/>
    <w:rsid w:val="00D953E5"/>
    <w:rsid w:val="00F4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A293"/>
  <w15:chartTrackingRefBased/>
  <w15:docId w15:val="{5BBB2AD4-115A-4F1A-BAE3-CBBD5CA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5DA2EBFEE854285546F1C0CE7041A" ma:contentTypeVersion="6" ma:contentTypeDescription="Create a new document." ma:contentTypeScope="" ma:versionID="af96bcc9418b1cd4fec58ec34166d9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89CC43-6C14-44AA-BE39-6A9FA6E4DA06}"/>
</file>

<file path=customXml/itemProps2.xml><?xml version="1.0" encoding="utf-8"?>
<ds:datastoreItem xmlns:ds="http://schemas.openxmlformats.org/officeDocument/2006/customXml" ds:itemID="{3875EEE1-9E74-4088-90B8-38D86829B03D}"/>
</file>

<file path=customXml/itemProps3.xml><?xml version="1.0" encoding="utf-8"?>
<ds:datastoreItem xmlns:ds="http://schemas.openxmlformats.org/officeDocument/2006/customXml" ds:itemID="{0A5AC8CF-4DEB-41A8-AA57-727F13589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Bohenko</dc:creator>
  <cp:keywords/>
  <dc:description/>
  <cp:lastModifiedBy>Lori Bohenko</cp:lastModifiedBy>
  <cp:revision>2</cp:revision>
  <dcterms:created xsi:type="dcterms:W3CDTF">2024-04-16T03:45:00Z</dcterms:created>
  <dcterms:modified xsi:type="dcterms:W3CDTF">2024-04-16T03:45:00Z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0x0101007D15DA2EBFEE854285546F1C0CE7041A</vt:lpwstr>
  </property>
</Properties>
</file>